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2007/237 vom 16. März 2009</w:t>
      </w:r>
    </w:p>
    <w:p>
      <w:r>
        <w:t>Sg Versicherungsgericht, 2009-03-16, DE</w:t>
      </w:r>
    </w:p>
    <w:p>
      <w:r>
        <w:rPr>
          <w:b/>
        </w:rPr>
        <w:t xml:space="preserve">Quelle: </w:t>
      </w:r>
      <w:r>
        <w:t>https://mcp.opencaselaw.ch/entscheid/sg_publikationen_IV 2007_237</w:t>
      </w:r>
    </w:p>
    <w:p>
      <w:r>
        <w:t>FR: SG_VERSICHERUNGSGERICHT IV 2007/237 du 16 mars 2009</w:t>
      </w:r>
    </w:p>
    <w:p>
      <w:r>
        <w:t>IT: SG_VERSICHERUNGSGERICHT IV 2007/237 del 16 marzo 2009</w:t>
      </w:r>
    </w:p>
    <w:p>
      <w:pPr>
        <w:pStyle w:val="Heading2"/>
      </w:pPr>
      <w:r>
        <w:t>Regeste</w:t>
      </w:r>
    </w:p>
    <w:p>
      <w:r>
        <w:t>Art. 28 aIVG (in der bis 31. Dezember 2007 gültigen Fassung); Art. 25 Abs. 2 IVV. Selbstständige Erwerbstätigkeit. Rückweisung zu Vornahme eines erwerblich gewichteten Betätigungsvergleichs (Entscheid des Versicherungsgerichts des Kantons St. Gallen vom 16. März 2009, IV 2007/237).</w:t>
      </w:r>
    </w:p>
    <w:p>
      <w:pPr>
        <w:pStyle w:val="Heading2"/>
      </w:pPr>
      <w:r>
        <w:t>Erwägungen</w:t>
      </w:r>
    </w:p>
    <w:p>
      <w:r>
        <w:rPr>
          <w:b/>
        </w:rPr>
        <w:t>E. 1</w:t>
      </w:r>
    </w:p>
    <w:p>
      <w:r>
        <w:t>In formeller Hinsicht macht der Beschwerdeführer eine Verletzung des rechtlichen Gehörs geltend. Die Beschwerdegegnerin habe ihre Begründungspflicht verletzt. Gestützt darauf ersucht er im Hauptantrag um Rückweisung der Sache (act. G 1). Die Beschwerdegegnerin hat sich im Beschwerdeverfahren nicht zur Frage der Gehörsverletzung geäussert, sondern beschränkte sich auf Ausführungen zur materiellen Rechtslage (act. G 4).</w:t>
      </w:r>
    </w:p>
    <w:p>
      <w:r>
        <w:rPr>
          <w:b/>
        </w:rPr>
        <w:t>E. 1.1</w:t>
      </w:r>
    </w:p>
    <w:p>
      <w:r>
        <w:t>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Die Begründung muss so abgefasst sein, dass der Betroffene den Entscheid gegebenenfalls sachgerecht anfechten kann. In diesem Sinn müssen wenigstens kurz die Überlegungen genannt werden, von denen sich die Behörde leiten liess und auf welche sich ihr Entscheid stützt (BGE 112 Ia 107 E. 2b mit Hinweisen; BGE 118 V 58). Die Verwaltung darf sich nicht damit begnügen, die von der betroffenen Person vorgebrachten Einwendungen zur Kenntnis zu nehmen und zu prüfen; sie hat ihre Überlegungen auch namhaft zu machen und sich dabei ausdrücklich mit den Einwendungen auseinander zu setzen oder zumindest die Gründe anzugeben, weshalb sie gewisse Gesichtspunkte nicht berücksichtigen kann (BGE 124 V 183 E. 2b).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w:t>
      </w:r>
    </w:p>
    <w:p>
      <w:r>
        <w:rPr>
          <w:b/>
        </w:rPr>
        <w:t>E. 1.2</w:t>
      </w:r>
    </w:p>
    <w:p>
      <w:r>
        <w:t>Im Vorbescheidverfahren vertrat der Beschwerdeführer im Hauptstandpunkt mit eingehender Begründung die Auffassung, dass zur Bestimmung des Invaliditätsgrades nicht ein Einkommensvergleich, sondern die ausserordentliche Bemessungsmethode heranzuziehen sei (act. G 4.1/59.3 f.). Hierzu hielt die Beschwerdegegnerin in der angefochtenen Verfügung lediglich fest, dass die Berechnung des Invaliditätsgrades nach der ausserordentlichen Bemessungsmethode "nicht angezeigt sei". Bei dieser Aussage handelt es sich jedoch nicht um eine Begründung, sondern um eine blosse Behauptung der Beschwerdegegnerin, die sich in keiner Weise mit den Vorbringen des Beschwerdeführers auseinandersetzt. Im Übrigen beschränkte sie sich auf Ausführungen zum vorgenommenen Einkommensvergleich. Auch bezüglich der strittigen Frage des Leidensabzuges findet sich keine Auseinandersetzung mit den Vorbringen des Beschwerdeführers (act. G 4.1/61.2). Die Frage, ob eine schwere, einer Heilung nicht zugängliche Gehörsverletzung vorliegt, kann indessen offen gelassen werden, da die angefochtene Verfügung aus materiellen Gründen aufzuheben und die Sache an die Beschwerdegegnerin zurückzuweisen ist, wie sich aus nachfolgenden Erwägungen ergibt.</w:t>
      </w:r>
    </w:p>
    <w:p>
      <w:r>
        <w:rPr>
          <w:b/>
        </w:rPr>
        <w:t>E. 2</w:t>
      </w:r>
    </w:p>
    <w:p>
      <w:r>
        <w:t>In materieller Hinsicht beantragt der Beschwerdeführer eventualiter die Zusprache einer ganzen Invalidenrente (act. G 1). Der allfällige Anspruch auf berufliche Massnahmen bildet nicht Gegenstand der angefochtenen Verfügung.</w:t>
      </w:r>
    </w:p>
    <w:p>
      <w:r>
        <w:rPr>
          <w:b/>
        </w:rPr>
        <w:t>E. 2.1</w:t>
      </w:r>
    </w:p>
    <w:p>
      <w:r>
        <w:t>Am 1. Januar 2008 sind mit der 5. IVG-Revision verschiedene Änderungen des IVG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vom 10. Mai 2007 eingetretenen Sachverhalt abzustellen ist (BGE 121 V 366 E. 1b), sind vorliegenddie bis zum 31. Dezember 2007 geltenden materiellen Bestimmungen anwendbar.</w:t>
      </w:r>
    </w:p>
    <w:p>
      <w:r>
        <w:rPr>
          <w:b/>
        </w:rPr>
        <w:t>E. 2.2</w:t>
      </w:r>
    </w:p>
    <w:p>
      <w:r>
        <w:t>Als Invalidität gilt gemäss Art. 8 Abs. 1 ATSG die voraussichtlich bleibende oder länger dauernde ganze oder teilweise Erwerbsunfähigkeit. Nach aArt. 28 Abs. 1 IVG hat die versicherte Person Anspruch auf eine ganze Rente, wenn sie mindestens zu 70%, auf eine Dreiviertelsrente, wenn sie mindestens zu 60%, auf eine halbe Rente, wenn sie mindestens zu 50% oder auf eine Viertelsrente, wenn sie mindestens zu 40% invalid ist.</w:t>
      </w:r>
    </w:p>
    <w:p>
      <w:r>
        <w:rPr>
          <w:b/>
        </w:rPr>
        <w:t>E. 2.3</w:t>
      </w:r>
    </w:p>
    <w:p>
      <w:r>
        <w:t>Bei erwerbstätigen Versicherten ist der Invaliditätsgrad auf 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(Art. 27 der Verordnung über die Invalidenversicherung [IVV; SR 831.20]) bei selbstständig Erwerbenden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für Nichterwerbstätige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einer erwerbstätigen Person kann zwar, braucht aber nicht notwendigerweise eine Erwerbseinbusse gleichen Umfangs zur Folge zu haben (vgl. BGE 128 V 30 f. E. 1 mit Hinweisen).</w:t>
      </w:r>
    </w:p>
    <w:p>
      <w:r>
        <w:rPr>
          <w:b/>
        </w:rPr>
        <w:t>E. 2.4</w:t>
      </w:r>
    </w:p>
    <w:p>
      <w:r>
        <w:t>Bei Selbstständigerwerbenden ist das für die Invaliditätsbemessung massgebende Erwerbseinkommen einzig auf Grund ihrer eigenen Mitarbeit im Betrieb zu bestimmen. Abzustellen ist auf jene Einkünfte, welche die versicherte Person selbst durch ihr eigenes Leistungsvermögen in zumutbarer Weise realisieren kann (Art. 25 Abs. 2 IVV). Die Gegenüberstellung der vor und nach Eintritt eines invalidenversicherungsrechtlichen Versicherungsfalles in einem Gewerbebetrieb realisierten Geschäftsergebnisse nach Massgabe der Einkommensvergleichsmethode lässt daher zuverlässige Schlüsse auf die invaliditätsbedingte Erwerbseinbusse nur dort zu, wo mit überwiegender Wahrscheinlichkeit ausgeschlossen werden kann, dass die Betriebsergebnisse durch invaliditätsfremde Faktoren beeinflusst worden sind. Tatsächlich sind aber für die jeweiligen Geschäftsergebnisse eines Gewerbebetriebes häufig zahlreiche schwer überblickbare Komponenten wie etwa die Konjunkturlage, die Konkurrenzsituation, der kompensatorische Einsatz von Familienangehörigen, Unternehmensbeteiligten oder Mitarbeitenden von massgeblicher Bedeutung. Eine verlässliche Ausscheidung der auf solche (invaliditätsfremde) Faktoren zurückzuführenden Einkommensanteile einerseits und der auf dem eigenen Leistungsvermögen der versicherten Person beruhenden Einkommensschöpfung andererseits ist in solchen Fällen in der Regel auf Grund der Buchhaltungsunterlagen nicht möglich, sodass die Invaliditätsbemessung nach der Methode des ausserordentlichen Bemessungsverfahrens zu erfolgen hat (Urteil des Bundesgerichts vom 18. Januar 2008, I 981/06, E. 6.2 mit Hinweis auf AHI 1998 S. 251 E. 4a).</w:t>
      </w:r>
    </w:p>
    <w:p>
      <w:r>
        <w:rPr>
          <w:b/>
        </w:rPr>
        <w:t>E. 3.1</w:t>
      </w:r>
    </w:p>
    <w:p>
      <w:r>
        <w:t>In medizinischer Hinsicht gehen die Ärzte im Wesentlichen von denselben Beschwerdebildern aus, und es steht nach der Lage der Akten fest, dass der Beschwerdeführer im massgebenden Zeitpunkt des Verfügungserlasses für administrative Arbeiten zu 100%, für Arbeiten in der Werkstatt und auf dem Bau zu 66% arbeitsfähig ist. Für Tätigkeiten auf dem Dach besteht eine 100%ige Arbeitsunfähigkeit (act. G 4.2).</w:t>
      </w:r>
    </w:p>
    <w:p>
      <w:r>
        <w:rPr>
          <w:b/>
        </w:rPr>
        <w:t>E. 3.2</w:t>
      </w:r>
    </w:p>
    <w:p>
      <w:r>
        <w:t>Dem Beschwerdeführer ist beizupflichten, dass die Invaliditätsbemessung entgegen der Auffassung der Beschwerdegegnerin nicht nach der Einkommensvergleichsmethode durchzuführen ist. Denn weder die von der Beschwerdegegnerin beigezogenen Geschäftsabschlüsse der Jahre 2001 bis 2004 noch die IK-Auszüge enthalten aussagekräftige Grundlagen darüber, in welchem Ausmass das Geschäftsergebnis jeweils durch die gesundheitlichen Beeinträchtigungen des Beschwerdeführers oder durch invaliditätsfremde Faktoren wie wirtschaftliche Strukturveränderungen oder konjunkturelle Schwankungen beeinflusst worden ist. Dass der Beschwerdeführer, seine Familienangehörigen und Mitarbeitenden die Folgen dieser Entwicklung durch Anpassungen des Betriebes auszugleichen suchten, ist ohne weiteres nachvollziehbar und mit Blick auf die den versicherten Personen obliegende Schadenminderungspflicht auch zu verlangen (zur Schadenminderungs- und Selbsteingliederungspflicht vgl. BGE 113 V 28 E. 4a; AHI 2001 S. 282 E. 5a/aa). Unter diesen Umständen und bei dem langjährigen Verlauf der gesundheitlichen Einflüsse auf das Geschäftsergebnis ist es praktisch nicht möglich, die invaliditätsbedingten Einflüsse auf das Geschäftsergebnis von den übrigen genannten abzugrenzen und das hypothetische Validen- und Invalideneinkommen zuverlässig zu bestimmen. Nach dem Gesagten ist der Invaliditätsgrad gestützt auf die ausserordentliche Bemessungsmethode eines erwerblich gewichteten Betätigungsvergleichs zu ermitteln, wie der Beschwerdeführer zu Recht geltend macht. Die Beschwerdegegnerin erachtete gestützt auf den Abklärungsbericht Selbstständigerwerbende vom 29. Juni 2005 offenbar selbst die Vornahme eines Betätigungsvergleichs als sachgerecht (act. G 4.1/21 und 22).</w:t>
      </w:r>
    </w:p>
    <w:p>
      <w:r>
        <w:rPr>
          <w:b/>
        </w:rPr>
        <w:t>E. 3.3</w:t>
      </w:r>
    </w:p>
    <w:p>
      <w:r>
        <w:t>Die Beschwerdegegnerin hat es bisher unterlassen, einen erwerblich gewichteten Betätigungsvergleich vorzunehmen. In den Akten liegt lediglich der Abklärungsbericht Selbstständigerwerbende vom 29. Juni 2005 (act. G 4.1/22), der beinahe 2 Jahre vor Verfügungserlass und nicht in Kenntnis der in den Akten liegenden medizinischen Gutachten erstellt worden ist. Vielmehr wurde ohne nähere Prüfung lediglich auf die Angaben des Beschwerdeführers abgestellt. Die Beschwerdegegnerin hat ferner zu Unrecht auf die Abklärung der Frage verzichtet, ob durch eine zumutbare adäquate Umverteilung der Arbeit eine höhere Restarbeitsfähigkeit des Beschwerdeführers resultiert. Die Sache ist angesichts des veralteten und nicht aussagekräftigen Abklärungsberichts vom 29. Juni 2005 an die Beschwerdegegnerin zurückzuweisen, damit sie gestützt auf die ausserordentliche Bemessungsmethode über den Leistungsanspruch des Beschwerdeführers neu befinde. Sie wird zunächst einen aktuellen Betätigungsvergleich vorzunehmen haben. Dieser hat sämtlichen im Tätigkeitsbereich des B.___-Betriebes in den vom Beschwerdeführer wahrgenommenen Funktionen anfallenden Aufgaben und Verrichtungen, deren jeweiligem Anteil an der Gesamttätigkeit sowie der Leistungsbeeinträchtigung in den einzelnen Teilbereichen unter Berücksichtigung der medizinischen Aktenlage Rechnung zu tragen. Es geht um die Gegenüberstellung der funktionellen Leistungsfähigkeit mit und ohne gesundheitliche Beschwerden. Die leidensbedingten Einschränkungen in den einzelnen Teilbereichen sind sodann im Hinblick auf ihre erwerblichen Auswirkungen besonders zu gewichten, bevor gemäss der Formel in BGE 128 V 33 E. 4c der Invaliditätsgrad zu berechnen ist (vgl. Urteil des Bundesgerichts vom 17. April 2007, I 70/06, E. 6.1). Unter dem Aspekt der Schadenminderungspflicht (vgl. AHI 1998 S. 119) wird sodann die Frage abzuklären sein, wieweit dem Beschwerdeführer zugemutet werden kann bzw. muss, die körperlich belastende Arbeit an die Mitarbeiter zu delegieren und selbst stattdessen vermehrt leitende und administrative Arbeiten sowie leichtere körperliche Tätigkeiten auszuführen bzw. ob durch eine zumutbare adäquate Umverteilung der Arbeit eine bessere Restarbeitsfähigkeit resultiert (vgl. Urteil des Versicherungsgerichts des Kantons St. Gallen vom 15. Mai 2008, IV 2007/4, bestätigt in Urteil des Bundesgerichts vom 19. Januar 2009, 9C_538/08, E. 4).</w:t>
      </w:r>
    </w:p>
    <w:p>
      <w:r>
        <w:rPr>
          <w:b/>
        </w:rPr>
        <w:t>E. 4.1</w:t>
      </w:r>
    </w:p>
    <w:p>
      <w:r>
        <w:t>In teilweiser Gutheissung der Beschwerde ist die angefochtene Verfügung vom 10. Mai 2007 aufzuheben und die Sache ist im Sinn der Erwägungen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weshalb die Beschwerdegegnerin die gesamte Gerichtsgebühr von Fr. 600.-- zu bezahlen hat. Der vom Beschwerdeführer entrichtete Kostenvorschuss von Fr. 600.-- ist diesem zurückzuerstatten.</w:t>
      </w:r>
    </w:p>
    <w:p>
      <w:r>
        <w:rPr>
          <w:b/>
        </w:rPr>
        <w:t>E. 4.3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Komplexität der Streitsache angemessen erscheint eine Parteientschädigung von pauschal Fr. 3'500.-- (inklusive Barauslagen und Mehrwertsteuer). Demgemäss hat das Versicherungsgericht entschieden: 1.  In teilweiser Gutheissung der Beschwerde wird die Verfügung vom 10. Mai 2007 aufgehoben und die Sache wird im Sinn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